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62625"/>
          <w:sz w:val="36"/>
        </w:rPr>
        <w:t>Polityka prywatności: Czerwona teczka</w:t>
      </w:r>
    </w:p>
    <w:p>
      <w:pPr>
        <w:spacing w:after="200"/>
      </w:pPr>
      <w:r>
        <w:rPr>
          <w:b w:val="0"/>
          <w:color w:val="67655E"/>
          <w:sz w:val="17"/>
        </w:rPr>
        <w:t>Stan na 04.10.2026, 22:50</w:t>
      </w:r>
    </w:p>
    <w:p>
      <w:pPr>
        <w:spacing w:after="80"/>
      </w:pPr>
      <w:r>
        <w:rPr>
          <w:b w:val="0"/>
          <w:color w:val="262625"/>
          <w:sz w:val="20"/>
        </w:rPr>
        <w:t>Wersja 1.0 z 4 października 2026 r. Przed udostępnieniem aplikacji poza krąg rodziny i znajomych dokument zostanie zweryfikowany przez prawnika.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1. Administrator</w:t>
      </w:r>
    </w:p>
    <w:p>
      <w:pPr>
        <w:spacing w:after="80"/>
      </w:pPr>
      <w:r>
        <w:rPr>
          <w:b w:val="0"/>
          <w:color w:val="262625"/>
          <w:sz w:val="20"/>
        </w:rPr>
        <w:t>Andrzej Brzeziński, NEW PROJECT Andrzej Brzeziński, ul. Mickiewicza 4/8, 19-300 Ełk, NIP 8481164296. Kontakt w sprawach danych: office@newproject360.pl. Inspektora ochrony danych nie wyznaczono.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2. Jakie dane, po co i na jakiej podstawie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27"/>
        <w:gridCol w:w="2308"/>
        <w:gridCol w:w="1688"/>
        <w:gridCol w:w="2266"/>
        <w:gridCol w:w="1688"/>
      </w:tblGrid>
      <w:tr>
        <w:tc>
          <w:tcPr>
            <w:tcW w:type="dxa" w:w="2027"/>
            <w:shd w:val="clear" w:fill="F4F3ED"/>
          </w:tcPr>
          <w:p>
            <w:r/>
            <w:r>
              <w:rPr>
                <w:b/>
                <w:sz w:val="17"/>
              </w:rPr>
              <w:t>Kogo dotyczy</w:t>
            </w:r>
          </w:p>
        </w:tc>
        <w:tc>
          <w:tcPr>
            <w:tcW w:type="dxa" w:w="2308"/>
            <w:shd w:val="clear" w:fill="F4F3ED"/>
          </w:tcPr>
          <w:p>
            <w:r/>
            <w:r>
              <w:rPr>
                <w:b/>
                <w:sz w:val="17"/>
              </w:rPr>
              <w:t>Dane</w:t>
            </w:r>
          </w:p>
        </w:tc>
        <w:tc>
          <w:tcPr>
            <w:tcW w:type="dxa" w:w="1688"/>
            <w:shd w:val="clear" w:fill="F4F3ED"/>
          </w:tcPr>
          <w:p>
            <w:r/>
            <w:r>
              <w:rPr>
                <w:b/>
                <w:sz w:val="17"/>
              </w:rPr>
              <w:t>Cel</w:t>
            </w:r>
          </w:p>
        </w:tc>
        <w:tc>
          <w:tcPr>
            <w:tcW w:type="dxa" w:w="2266"/>
            <w:shd w:val="clear" w:fill="F4F3ED"/>
          </w:tcPr>
          <w:p>
            <w:r/>
            <w:r>
              <w:rPr>
                <w:b/>
                <w:sz w:val="17"/>
              </w:rPr>
              <w:t>Podstawa (RODO)</w:t>
            </w:r>
          </w:p>
        </w:tc>
        <w:tc>
          <w:tcPr>
            <w:tcW w:type="dxa" w:w="1688"/>
            <w:shd w:val="clear" w:fill="F4F3ED"/>
          </w:tcPr>
          <w:p>
            <w:r/>
            <w:r>
              <w:rPr>
                <w:b/>
                <w:sz w:val="17"/>
              </w:rPr>
              <w:t>Jak długo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Właściciel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imię, nazwisko, e-mail, hasło (skrót), sekret aplikacji z kodami (zaszyfrowany), język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konto, logowanie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b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usunięcia konta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Właściciel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treść teczki: dokumenty, notatki, kontakty, checklista, pisma, tekst rozpoznany ze skanów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prowadzenie teczki i dostęp awaryjny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b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usunięcia konta; po śmierci zob. pkt 5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Właściciel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dane o zdrowiu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jak wyżej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9 ust. 2 lit. a: wyraźna zgoda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cofnięcia zgody albo usunięcia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Właściciel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Sejf (szyfrogram)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przechowanie haseł i kodów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b; nie znamy treści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jak teczka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Opiekun teczki, druga osoba pary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imię, e-mail, konto, historia zmian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prowadzenie teczki na zaproszenie Właściciela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b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odebrania dostępu lub rozdzielenia teczki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Osoba zaufana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imię, e-mail, konto, logowania, wnioski, historia odczytów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zaproszenie, dostęp awaryjny, bezpieczeństwo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przed przyjęciem zaproszenia: art. 6 ust. 1 lit. f; po przyjęciu: art. 6 ust. 1 lit. b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usunięcia przez Właściciela lub rezygnacji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Osoby wpisane przez Właściciela (rodzina, lekarz, notariusz, doradca)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dane kontaktowe, rola, czasem dane z dokumentów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przekazanie bliskim informacji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f; dane o zdrowiu tylko za zgodą tej osoby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jak teczka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Wszyscy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adres IP, czas, przeglądarka, zdarzenia bezpieczeństwa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bezpieczeństwo, wykrywanie nadużyć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f i art. 32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12 miesięcy</w:t>
            </w:r>
          </w:p>
        </w:tc>
      </w:tr>
      <w:tr>
        <w:tc>
          <w:tcPr>
            <w:tcW w:type="dxa" w:w="2027"/>
          </w:tcPr>
          <w:p>
            <w:r>
              <w:rPr>
                <w:sz w:val="17"/>
              </w:rPr>
              <w:t>Wszyscy</w:t>
            </w:r>
          </w:p>
        </w:tc>
        <w:tc>
          <w:tcPr>
            <w:tcW w:type="dxa" w:w="2308"/>
          </w:tcPr>
          <w:p>
            <w:r>
              <w:rPr>
                <w:sz w:val="17"/>
              </w:rPr>
              <w:t>wersja zaakceptowanych dokumentów i zgód, data, adres IP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dowód zgody i umowy</w:t>
            </w:r>
          </w:p>
        </w:tc>
        <w:tc>
          <w:tcPr>
            <w:tcW w:type="dxa" w:w="2266"/>
          </w:tcPr>
          <w:p>
            <w:r>
              <w:rPr>
                <w:sz w:val="17"/>
              </w:rPr>
              <w:t>art. 6 ust. 1 lit. c i f (art. 7 ust. 1)</w:t>
            </w:r>
          </w:p>
        </w:tc>
        <w:tc>
          <w:tcPr>
            <w:tcW w:type="dxa" w:w="1688"/>
          </w:tcPr>
          <w:p>
            <w:r>
              <w:rPr>
                <w:sz w:val="17"/>
              </w:rPr>
              <w:t>do przedawnienia roszczeń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 w:val="0"/>
          <w:color w:val="262625"/>
          <w:sz w:val="20"/>
        </w:rPr>
        <w:t>Nie profilujemy, nie sprzedajemy danych, nie używamy reklam ani zewnętrznej analityki. Automatyczne otwarcie dostępu awaryjnego następuje według ustawień samego Właściciela.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3. Skąd mamy dane</w:t>
      </w:r>
    </w:p>
    <w:p>
      <w:pPr>
        <w:spacing w:after="80"/>
      </w:pPr>
      <w:r>
        <w:rPr>
          <w:b w:val="0"/>
          <w:color w:val="262625"/>
          <w:sz w:val="20"/>
        </w:rPr>
        <w:t>Od Właściciela (o nim i o osobach, które wpisał), od Osób zaufanych i opiekunów (przy przyjęciu zaproszenia), z urządzenia użytkownika (dzienniki techniczne).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4. Odbiorcy</w:t>
      </w:r>
    </w:p>
    <w:p>
      <w:pPr>
        <w:spacing w:after="40"/>
      </w:pPr>
      <w:r>
        <w:rPr>
          <w:b w:val="0"/>
          <w:color w:val="262625"/>
          <w:sz w:val="20"/>
        </w:rPr>
        <w:t>• Hostinger: serwer VPS w Unii Europejskiej, podmiot przetwarzający na podstawie umowy powierzenia.</w:t>
      </w:r>
    </w:p>
    <w:p>
      <w:pPr>
        <w:spacing w:after="40"/>
      </w:pPr>
      <w:r>
        <w:rPr>
          <w:b w:val="0"/>
          <w:color w:val="262625"/>
          <w:sz w:val="20"/>
        </w:rPr>
        <w:t>• Dostawca poczty wychodzącej (skrzynka office@newproject360.pl): wysyłka e-maili.</w:t>
      </w:r>
    </w:p>
    <w:p>
      <w:pPr>
        <w:spacing w:after="40"/>
      </w:pPr>
      <w:r>
        <w:rPr>
          <w:b w:val="0"/>
          <w:color w:val="262625"/>
          <w:sz w:val="20"/>
        </w:rPr>
        <w:t>• Osoby zaufane: w zakresie ustawionym przez Właściciela, po otwarciu dostępu awaryjnego.</w:t>
      </w:r>
    </w:p>
    <w:p>
      <w:pPr>
        <w:spacing w:after="40"/>
      </w:pPr>
      <w:r>
        <w:rPr>
          <w:b w:val="0"/>
          <w:color w:val="262625"/>
          <w:sz w:val="20"/>
        </w:rPr>
        <w:t>• Organy publiczne: tylko na podstawie przepisów prawa.</w:t>
      </w:r>
    </w:p>
    <w:p>
      <w:pPr>
        <w:spacing w:after="80"/>
      </w:pPr>
      <w:r>
        <w:rPr>
          <w:b w:val="0"/>
          <w:color w:val="262625"/>
          <w:sz w:val="20"/>
        </w:rPr>
        <w:t>Nie przekazujemy danych poza Europejski Obszar Gospodarczy.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5. Śmierć Właściciela</w:t>
      </w:r>
    </w:p>
    <w:p>
      <w:pPr>
        <w:spacing w:after="40"/>
      </w:pPr>
      <w:r>
        <w:rPr>
          <w:b w:val="0"/>
          <w:color w:val="262625"/>
          <w:sz w:val="20"/>
        </w:rPr>
        <w:t>• RODO nie chroni danych osób zmarłych (motyw 27), ale chroni dane żyjących osób w teczce; z danymi zmarłego postępujemy tak samo ostrożnie.</w:t>
      </w:r>
    </w:p>
    <w:p>
      <w:pPr>
        <w:spacing w:after="40"/>
      </w:pPr>
      <w:r>
        <w:rPr>
          <w:b w:val="0"/>
          <w:color w:val="262625"/>
          <w:sz w:val="20"/>
        </w:rPr>
        <w:t>• Po otwarciu dostępu awaryjnego z powodu śmierci teczka jest dostępna Osobom zaufanym tylko do odczytu przez 12 miesięcy. Na 30 dni przed końcem dostają one e-mail z przypomnieniem o pobraniu danych. Potem teczka jest usuwana, a kopie zapasowe wygasają w ciągu 30 dni.</w:t>
      </w:r>
    </w:p>
    <w:p>
      <w:pPr>
        <w:spacing w:after="40"/>
      </w:pPr>
      <w:r>
        <w:rPr>
          <w:b w:val="0"/>
          <w:color w:val="262625"/>
          <w:sz w:val="20"/>
        </w:rPr>
        <w:t>• Zalecamy zapisać w teczce, komu za życia upoważniono dostęp do dokumentacji medycznej, albo czy jest sprzeciw wobec jej udostępnienia bliskim (art. 26 ustawy o prawach pacjenta).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6. Twoje prawa</w:t>
      </w:r>
    </w:p>
    <w:p>
      <w:pPr>
        <w:spacing w:after="80"/>
      </w:pPr>
      <w:r>
        <w:rPr>
          <w:b w:val="0"/>
          <w:color w:val="262625"/>
          <w:sz w:val="20"/>
        </w:rPr>
        <w:t>Dostęp, sprostowanie, usunięcie, ograniczenie przetwarzania, sprzeciw (przy podstawie z art. 6 ust. 1 lit. f), przenoszenie danych (pobranie danych w ustawieniach konta), cofnięcie zgody w każdej chwili bez wpływu na wcześniejsze przetwarzanie. Skarga: Prezes Urzędu Ochrony Danych Osobowych, ul. Stawki 2, 00-193 Warszawa.</w:t>
      </w:r>
    </w:p>
    <w:p>
      <w:pPr>
        <w:spacing w:after="80"/>
      </w:pPr>
      <w:r>
        <w:rPr>
          <w:b w:val="0"/>
          <w:color w:val="262625"/>
          <w:sz w:val="20"/>
        </w:rPr>
        <w:t>Jeżeli Twoje dane wpisał do teczki ktoś inny, możesz zapytać, czy je przetwarzamy, i skorzystać z powyższych praw. Nie przeglądamy teczek; o żądaniu powiadomimy Właściciela teczki. Ta informacja realizuje obowiązek z art. 14 ust. 5 lit. b RODO.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7. Bezpieczeństwo</w:t>
      </w:r>
    </w:p>
    <w:p>
      <w:pPr>
        <w:spacing w:after="80"/>
      </w:pPr>
      <w:r>
        <w:rPr>
          <w:b w:val="0"/>
          <w:color w:val="262625"/>
          <w:sz w:val="20"/>
        </w:rPr>
        <w:t>Szyfrowanie dokumentów na serwerze (AES-256-GCM, klucz poza bazą i poza kopiami), Sejf szyfrowany w przeglądarce (PBKDF2-SHA256, 600 000 iteracji, AES-256-GCM), logowanie dwuskładnikowe, sesje 8 h i 30 min bezczynności, codzienne kopie (30 najnowszych), dziennik dostępu. Tekst rozpoznany ze skanów i opisy dokumentów są w bazie jawne, żeby działało wyszukiwanie; chroni je dostęp do serwera.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8. Ciasteczka</w:t>
      </w:r>
    </w:p>
    <w:p>
      <w:pPr>
        <w:spacing w:after="80"/>
      </w:pPr>
      <w:r>
        <w:rPr>
          <w:b w:val="0"/>
          <w:color w:val="262625"/>
          <w:sz w:val="20"/>
        </w:rPr>
        <w:t>Używamy wyłącznie ciasteczek niezbędnych: sesji, ochrony formularzy, języka i motywu. Są konieczne do świadczenia usługi (art. 399 ust. 3 pkt 2 Prawa komunikacji elektronicznej), więc nie pytamy o zgodę. Nie używamy ciasteczek analitycznych ani reklamowych.</w:t>
      </w:r>
    </w:p>
    <w:p>
      <w:pPr>
        <w:keepNext/>
        <w:spacing w:after="80" w:before="200"/>
      </w:pPr>
      <w:r>
        <w:rPr>
          <w:b/>
          <w:color w:val="262625"/>
          <w:sz w:val="26"/>
        </w:rPr>
        <w:t>9. Zmiany polityki</w:t>
      </w:r>
    </w:p>
    <w:p>
      <w:pPr>
        <w:spacing w:after="80"/>
      </w:pPr>
      <w:r>
        <w:rPr>
          <w:b w:val="0"/>
          <w:color w:val="262625"/>
          <w:sz w:val="20"/>
        </w:rPr>
        <w:t>O zmianach informujemy e-mailem i w Aplikacji; poprzednie wersje są dostępne w Aplikacji.</w:t>
      </w:r>
    </w:p>
    <w:sectPr w:rsidR="00FC693F" w:rsidRPr="0006063C" w:rsidSect="00034616">
      <w:footerReference w:type="default" r:id="rId9"/>
      <w:pgSz w:w="11906" w:h="16838"/>
      <w:pgMar w:top="907" w:right="79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Char w:fldCharType="begin"/>
      <w:instrText xml:space="preserve">PAGE</w:instrText>
      <w:fldChar w:fldCharType="end"/>
    </w:r>
  </w:p>
  <w:p>
    <w:pPr>
      <w:jc w:val="right"/>
    </w:pPr>
    <w:r>
      <w:rPr>
        <w:color w:val="67655E"/>
        <w:sz w:val="16"/>
      </w:rPr>
      <w:t>Czerwona teczka · Polityka prywatności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prywatności: Czerwona teczka</dc:title>
  <dc:subject/>
  <dc:creator>NEW PROJECT Andrzej Brzeziński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