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262625"/>
          <w:sz w:val="36"/>
        </w:rPr>
        <w:t>Regulamin: Czerwona teczka</w:t>
      </w:r>
    </w:p>
    <w:p>
      <w:pPr>
        <w:spacing w:after="200"/>
      </w:pPr>
      <w:r>
        <w:rPr>
          <w:b w:val="0"/>
          <w:color w:val="67655E"/>
          <w:sz w:val="17"/>
        </w:rPr>
        <w:t>Stan na 04.10.2026, 22:52</w:t>
      </w:r>
    </w:p>
    <w:p>
      <w:pPr>
        <w:spacing w:after="80"/>
      </w:pPr>
      <w:r>
        <w:rPr>
          <w:b w:val="0"/>
          <w:color w:val="262625"/>
          <w:sz w:val="20"/>
        </w:rPr>
        <w:t>Wersja 1.0 z 4 października 2026 r. Dokument przygotowany na podstawie przepisów sprawdzonych tego dnia; przed udostępnieniem aplikacji poza krąg rodziny i znajomych zostanie zweryfikowany przez prawnika. Podstawy: art. 8 ustawy o świadczeniu usług drogą elektroniczną, rozporządzenie (UE) 2022/2065 (DSA), ustawa o prawach konsumenta.</w:t>
      </w:r>
    </w:p>
    <w:p>
      <w:pPr>
        <w:keepNext/>
        <w:spacing w:after="80" w:before="200"/>
      </w:pPr>
      <w:r>
        <w:rPr>
          <w:b/>
          <w:color w:val="262625"/>
          <w:sz w:val="26"/>
        </w:rPr>
        <w:t>§ 1. Usługodawca</w:t>
      </w:r>
    </w:p>
    <w:p>
      <w:pPr>
        <w:spacing w:after="40"/>
      </w:pPr>
      <w:r>
        <w:rPr>
          <w:b w:val="0"/>
          <w:color w:val="262625"/>
          <w:sz w:val="20"/>
        </w:rPr>
        <w:t>• Usługę świadczy Andrzej Brzeziński, prowadzący działalność gospodarczą pod firmą NEW PROJECT Andrzej Brzeziński, ul. Mickiewicza 4/8, 19-300 Ełk, NIP 8481164296, REGON 368419998 („Usługodawca”).</w:t>
      </w:r>
    </w:p>
    <w:p>
      <w:pPr>
        <w:spacing w:after="40"/>
      </w:pPr>
      <w:r>
        <w:rPr>
          <w:b w:val="0"/>
          <w:color w:val="262625"/>
          <w:sz w:val="20"/>
        </w:rPr>
        <w:t>• Kontakt: office@newproject360.pl, adres pocztowy jak wyżej. Ten adres jest też punktem kontaktowym dla użytkowników i organów w rozumieniu art. 11 i 12 DSA; korespondencja po polsku lub angielsku.</w:t>
      </w:r>
    </w:p>
    <w:p>
      <w:pPr>
        <w:keepNext/>
        <w:spacing w:after="80" w:before="200"/>
      </w:pPr>
      <w:r>
        <w:rPr>
          <w:b/>
          <w:color w:val="262625"/>
          <w:sz w:val="26"/>
        </w:rPr>
        <w:t>§ 2. Definicje</w:t>
      </w:r>
    </w:p>
    <w:p>
      <w:pPr>
        <w:spacing w:after="40"/>
      </w:pPr>
      <w:r>
        <w:rPr>
          <w:b w:val="0"/>
          <w:color w:val="262625"/>
          <w:sz w:val="20"/>
        </w:rPr>
        <w:t>• Aplikacja: serwis pod adresem https://czerwona-teczka.newproject360.pl/.</w:t>
      </w:r>
    </w:p>
    <w:p>
      <w:pPr>
        <w:spacing w:after="40"/>
      </w:pPr>
      <w:r>
        <w:rPr>
          <w:b w:val="0"/>
          <w:color w:val="262625"/>
          <w:sz w:val="20"/>
        </w:rPr>
        <w:t>• Właściciel: pełnoletnia osoba fizyczna, która prowadzi teczkę we własnych sprawach. W teczce pary jest dwóch Właścicieli (osoba A i osoba B).</w:t>
      </w:r>
    </w:p>
    <w:p>
      <w:pPr>
        <w:spacing w:after="40"/>
      </w:pPr>
      <w:r>
        <w:rPr>
          <w:b w:val="0"/>
          <w:color w:val="262625"/>
          <w:sz w:val="20"/>
        </w:rPr>
        <w:t>• Teczka: zbiór informacji, dokumentów, kontaktów, pism i instrukcji Właściciela.</w:t>
      </w:r>
    </w:p>
    <w:p>
      <w:pPr>
        <w:spacing w:after="40"/>
      </w:pPr>
      <w:r>
        <w:rPr>
          <w:b w:val="0"/>
          <w:color w:val="262625"/>
          <w:sz w:val="20"/>
        </w:rPr>
        <w:t>• Sejf: część teczki szyfrowana w przeglądarce; Usługodawca nie zna klucza.</w:t>
      </w:r>
    </w:p>
    <w:p>
      <w:pPr>
        <w:spacing w:after="40"/>
      </w:pPr>
      <w:r>
        <w:rPr>
          <w:b w:val="0"/>
          <w:color w:val="262625"/>
          <w:sz w:val="20"/>
        </w:rPr>
        <w:t>• Osoba zaufana: osoba wskazana przez Właściciela, która po przyjęciu zaproszenia ma konto i może złożyć wniosek o dostęp awaryjny.</w:t>
      </w:r>
    </w:p>
    <w:p>
      <w:pPr>
        <w:spacing w:after="40"/>
      </w:pPr>
      <w:r>
        <w:rPr>
          <w:b w:val="0"/>
          <w:color w:val="262625"/>
          <w:sz w:val="20"/>
        </w:rPr>
        <w:t>• Dostęp awaryjny: udostępnienie Osobie zaufanej części teczki po wniosku (niezdolność albo śmierć) i upływie zwłoki ustawionej przez Właściciela, jeżeli Właściciel nie odmówi.</w:t>
      </w:r>
    </w:p>
    <w:p>
      <w:pPr>
        <w:spacing w:after="40"/>
      </w:pPr>
      <w:r>
        <w:rPr>
          <w:b w:val="0"/>
          <w:color w:val="262625"/>
          <w:sz w:val="20"/>
        </w:rPr>
        <w:t>• Przełącznik: okresowa prośba do Właściciela o potwierdzenie, że wszystko w porządku; brak potwierdzenia uruchamia powiadomienia Osób zaufanych.</w:t>
      </w:r>
    </w:p>
    <w:p>
      <w:pPr>
        <w:spacing w:after="40"/>
      </w:pPr>
      <w:r>
        <w:rPr>
          <w:b w:val="0"/>
          <w:color w:val="262625"/>
          <w:sz w:val="20"/>
        </w:rPr>
        <w:t>• Opiekun teczki: osoba, którą Właściciel upoważnił do uzupełniania teczki (np. dziecko pomagające seniorowi). Nie ma dostępu do Sejfu ani listów.</w:t>
      </w:r>
    </w:p>
    <w:p>
      <w:pPr>
        <w:spacing w:after="40"/>
      </w:pPr>
      <w:r>
        <w:rPr>
          <w:b w:val="0"/>
          <w:color w:val="262625"/>
          <w:sz w:val="20"/>
        </w:rPr>
        <w:t>• Teczka w prezencie: teczka przygotowana przez jedną osobę i przekazana drugiej; obdarowany po przyjęciu staje się Właścicielem.</w:t>
      </w:r>
    </w:p>
    <w:p>
      <w:pPr>
        <w:keepNext/>
        <w:spacing w:after="80" w:before="200"/>
      </w:pPr>
      <w:r>
        <w:rPr>
          <w:b/>
          <w:color w:val="262625"/>
          <w:sz w:val="26"/>
        </w:rPr>
        <w:t>§ 3. Usługi</w:t>
      </w:r>
    </w:p>
    <w:p>
      <w:pPr>
        <w:spacing w:after="40"/>
      </w:pPr>
      <w:r>
        <w:rPr>
          <w:b w:val="0"/>
          <w:color w:val="262625"/>
          <w:sz w:val="20"/>
        </w:rPr>
        <w:t>• Usługodawca świadczy nieodpłatnie usługę prowadzenia konta i teczki, obejmującą: przechowywanie dokumentów z rozpoznawaniem tekstu skanów na serwerze Usługodawcy, checklistę spraw na wypadek niezdolności i śmierci, Sejf, Osoby zaufane i dostęp awaryjny, Przełącznik, rejestr pism z instytucjami i wzory pism, wydruk i pobieranie dokumentów (PDF, Word, Excel, ZIP), eksport danych oraz przypomnienia e-mailowe.</w:t>
      </w:r>
    </w:p>
    <w:p>
      <w:pPr>
        <w:spacing w:after="40"/>
      </w:pPr>
      <w:r>
        <w:rPr>
          <w:b w:val="0"/>
          <w:color w:val="262625"/>
          <w:sz w:val="20"/>
        </w:rPr>
        <w:t>• Aplikacja jest udostępniana na zaproszenie Usługodawcy albo Właściciela (rodzina i znajomi).</w:t>
      </w:r>
    </w:p>
    <w:p>
      <w:pPr>
        <w:spacing w:after="40"/>
      </w:pPr>
      <w:r>
        <w:rPr>
          <w:b w:val="0"/>
          <w:color w:val="262625"/>
          <w:sz w:val="20"/>
        </w:rPr>
        <w:t>• Aplikacja porządkuje informacje. Nie jest poradą prawną, podatkową ani medyczną i nie zastępuje testamentu, pełnomocnictwa, dyspozycji składanych w bankach i instytucjach ani oryginałów dokumentów. Testament wymaga formy z art. 949-953 Kodeksu cywilnego; plik w Aplikacji testamentem nie jest. Pełnomocnictwo jest skuteczne tylko w formie wymaganej przepisami i co do zasady wygasa ze śmiercią mocodawcy.</w:t>
      </w:r>
    </w:p>
    <w:p>
      <w:pPr>
        <w:spacing w:after="40"/>
      </w:pPr>
      <w:r>
        <w:rPr>
          <w:b w:val="0"/>
          <w:color w:val="262625"/>
          <w:sz w:val="20"/>
        </w:rPr>
        <w:t>• Opisy prawne w Aplikacji podają stan prawny i datę weryfikacji. Usługodawca sprawdza zmiany przepisów co miesiąc i publikuje je na stronie „Zmiany w prawie”, ale nie gwarantuje kompletności ani aktualności opisów w każdym dniu.</w:t>
      </w:r>
    </w:p>
    <w:p>
      <w:pPr>
        <w:keepNext/>
        <w:spacing w:after="80" w:before="200"/>
      </w:pPr>
      <w:r>
        <w:rPr>
          <w:b/>
          <w:color w:val="262625"/>
          <w:sz w:val="26"/>
        </w:rPr>
        <w:t>§ 4. Wymagania techniczne i zagrożenia</w:t>
      </w:r>
    </w:p>
    <w:p>
      <w:pPr>
        <w:spacing w:after="40"/>
      </w:pPr>
      <w:r>
        <w:rPr>
          <w:b w:val="0"/>
          <w:color w:val="262625"/>
          <w:sz w:val="20"/>
        </w:rPr>
        <w:t>• Urządzenie z internetem i aktualną przeglądarką obsługującą Web Crypto API; włączone ciasteczka niezbędne; skrzynka e-mail. Właściciel loguje się dodatkowo kodem z aplikacji na telefonie albo, gdy tak ustawiono, kodem e-mail.</w:t>
      </w:r>
    </w:p>
    <w:p>
      <w:pPr>
        <w:spacing w:after="40"/>
      </w:pPr>
      <w:r>
        <w:rPr>
          <w:b w:val="0"/>
          <w:color w:val="262625"/>
          <w:sz w:val="20"/>
        </w:rPr>
        <w:t>• Szczególne zagrożenia (art. 6 ustawy o świadczeniu usług drogą elektroniczną): wyłudzanie haseł, złośliwe oprogramowanie na urządzeniu, utrata hasła Sejfu i kodu odzyskania. Usługodawca nie może odzyskać zawartości Sejfu bez hasła Sejfu, kodu odzyskania albo kodu z koperty Osoby zaufanej.</w:t>
      </w:r>
    </w:p>
    <w:p>
      <w:pPr>
        <w:keepNext/>
        <w:spacing w:after="80" w:before="200"/>
      </w:pPr>
      <w:r>
        <w:rPr>
          <w:b/>
          <w:color w:val="262625"/>
          <w:sz w:val="26"/>
        </w:rPr>
        <w:t>§ 5. Zawarcie i rozwiązanie umowy</w:t>
      </w:r>
    </w:p>
    <w:p>
      <w:pPr>
        <w:spacing w:after="40"/>
      </w:pPr>
      <w:r>
        <w:rPr>
          <w:b w:val="0"/>
          <w:color w:val="262625"/>
          <w:sz w:val="20"/>
        </w:rPr>
        <w:t>• Umowa zostaje zawarta z chwilą pierwszego zalogowania po zaproszeniu i akceptacji Regulaminu. Konto może mieć wyłącznie osoba pełnoletnia z pełną zdolnością do czynności prawnych.</w:t>
      </w:r>
    </w:p>
    <w:p>
      <w:pPr>
        <w:spacing w:after="40"/>
      </w:pPr>
      <w:r>
        <w:rPr>
          <w:b w:val="0"/>
          <w:color w:val="262625"/>
          <w:sz w:val="20"/>
        </w:rPr>
        <w:t>• Umowa jest zawarta na czas nieoznaczony. Użytkownik może ją wypowiedzieć w każdej chwili, zgłaszając usunięcie konta w Aplikacji albo pisząc na adres z § 1. Przed usunięciem może pobrać swoje dane.</w:t>
      </w:r>
    </w:p>
    <w:p>
      <w:pPr>
        <w:spacing w:after="40"/>
      </w:pPr>
      <w:r>
        <w:rPr>
          <w:b w:val="0"/>
          <w:color w:val="262625"/>
          <w:sz w:val="20"/>
        </w:rPr>
        <w:t>• Usługodawca może wypowiedzieć umowę z ważnych przyczyn (rażące naruszenie Regulaminu, zakończenie świadczenia usługi) z zachowaniem 30 dni wypowiedzenia, w czasie których można pobrać dane.</w:t>
      </w:r>
    </w:p>
    <w:p>
      <w:pPr>
        <w:spacing w:after="40"/>
      </w:pPr>
      <w:r>
        <w:rPr>
          <w:b w:val="0"/>
          <w:color w:val="262625"/>
          <w:sz w:val="20"/>
        </w:rPr>
        <w:t>• Śmierć Właściciela: teczka pozostaje dostępna Osobom zaufanym w zakresie dostępu awaryjnego przez 12 miesięcy od otwarcia dostępu z powodu śmierci. Na 30 dni przed końcem dostają one e-mail z przypomnieniem o pobraniu danych; potem teczka jest usuwana.</w:t>
      </w:r>
    </w:p>
    <w:p>
      <w:pPr>
        <w:spacing w:after="40"/>
      </w:pPr>
      <w:r>
        <w:rPr>
          <w:b w:val="0"/>
          <w:color w:val="262625"/>
          <w:sz w:val="20"/>
        </w:rPr>
        <w:t>• Konto bez logowania przez 24 miesiące i bez odpowiedzi na przypomnienia e-mailowe może zostać usunięte.</w:t>
      </w:r>
    </w:p>
    <w:p>
      <w:pPr>
        <w:keepNext/>
        <w:spacing w:after="80" w:before="200"/>
      </w:pPr>
      <w:r>
        <w:rPr>
          <w:b/>
          <w:color w:val="262625"/>
          <w:sz w:val="26"/>
        </w:rPr>
        <w:t>§ 6. Zasady korzystania</w:t>
      </w:r>
    </w:p>
    <w:p>
      <w:pPr>
        <w:spacing w:after="40"/>
      </w:pPr>
      <w:r>
        <w:rPr>
          <w:b w:val="0"/>
          <w:color w:val="262625"/>
          <w:sz w:val="20"/>
        </w:rPr>
        <w:t>• Właściciel wpisuje dane innych osób (rodziny, Osób zaufanych, lekarzy, doradców) wyłącznie w celach osobistych i rodzinnych, w zakresie potrzebnym bliskim.</w:t>
      </w:r>
    </w:p>
    <w:p>
      <w:pPr>
        <w:spacing w:after="40"/>
      </w:pPr>
      <w:r>
        <w:rPr>
          <w:b w:val="0"/>
          <w:color w:val="262625"/>
          <w:sz w:val="20"/>
        </w:rPr>
        <w:t>• Dane o zdrowiu innych osób Właściciel wpisuje tylko za ich zgodą albo jako ich przedstawiciel ustawowy.</w:t>
      </w:r>
    </w:p>
    <w:p>
      <w:pPr>
        <w:spacing w:after="40"/>
      </w:pPr>
      <w:r>
        <w:rPr>
          <w:b w:val="0"/>
          <w:color w:val="262625"/>
          <w:sz w:val="20"/>
        </w:rPr>
        <w:t>• Zakazane jest dostarczanie treści o charakterze bezprawnym, w szczególności naruszających prawa osób trzecich, złośliwego oprogramowania i treści pochodzących z przestępstwa.</w:t>
      </w:r>
    </w:p>
    <w:p>
      <w:pPr>
        <w:spacing w:after="40"/>
      </w:pPr>
      <w:r>
        <w:rPr>
          <w:b w:val="0"/>
          <w:color w:val="262625"/>
          <w:sz w:val="20"/>
        </w:rPr>
        <w:t>• Teczka seniora: Właścicielem jest senior; Opiekun teczki działa na podstawie jego upoważnienia, które senior może w każdej chwili cofnąć, a każdy krok Opiekuna jest w historii teczki.</w:t>
      </w:r>
    </w:p>
    <w:p>
      <w:pPr>
        <w:spacing w:after="40"/>
      </w:pPr>
      <w:r>
        <w:rPr>
          <w:b w:val="0"/>
          <w:color w:val="262625"/>
          <w:sz w:val="20"/>
        </w:rPr>
        <w:t>• Teczka pary: część wspólną widzą i zmieniają obie osoby; sprawy osobiste, Sejf, listy i Osoby zaufane każda osoba ma swoje. Każda osoba może doprowadzić do rozdzielenia teczki.</w:t>
      </w:r>
    </w:p>
    <w:p>
      <w:pPr>
        <w:spacing w:after="40"/>
      </w:pPr>
      <w:r>
        <w:rPr>
          <w:b w:val="0"/>
          <w:color w:val="262625"/>
          <w:sz w:val="20"/>
        </w:rPr>
        <w:t>• Hasła w Sejfie służą uporządkowaniu spraw. Osoby zaufane nie powinny po śmierci Właściciela logować się do jego bankowości ani dysponować jego środkami; do rachunków zmarłego mają prawo spadkobiercy i osoby z dyspozycją na wypadek śmierci, w trybie przewidzianym przez bank.</w:t>
      </w:r>
    </w:p>
    <w:p>
      <w:pPr>
        <w:keepNext/>
        <w:spacing w:after="80" w:before="200"/>
      </w:pPr>
      <w:r>
        <w:rPr>
          <w:b/>
          <w:color w:val="262625"/>
          <w:sz w:val="26"/>
        </w:rPr>
        <w:t>§ 7. Dostęp awaryjny</w:t>
      </w:r>
    </w:p>
    <w:p>
      <w:pPr>
        <w:spacing w:after="40"/>
      </w:pPr>
      <w:r>
        <w:rPr>
          <w:b w:val="0"/>
          <w:color w:val="262625"/>
          <w:sz w:val="20"/>
        </w:rPr>
        <w:t>• Właściciel wskazuje Osoby zaufane, dla każdej zakres osobno dla niezdolności i dla śmierci, oraz zwłokę (domyślnie 7 dni).</w:t>
      </w:r>
    </w:p>
    <w:p>
      <w:pPr>
        <w:spacing w:after="40"/>
      </w:pPr>
      <w:r>
        <w:rPr>
          <w:b w:val="0"/>
          <w:color w:val="262625"/>
          <w:sz w:val="20"/>
        </w:rPr>
        <w:t>• Po wniosku Właściciel dostaje e-mail z możliwością odmowy jednym kliknięciem i przypomnienia co dobę. Brak odmowy w czasie zwłoki otwiera dostęp tylko do odczytu w ustawionym zakresie.</w:t>
      </w:r>
    </w:p>
    <w:p>
      <w:pPr>
        <w:spacing w:after="40"/>
      </w:pPr>
      <w:r>
        <w:rPr>
          <w:b w:val="0"/>
          <w:color w:val="262625"/>
          <w:sz w:val="20"/>
        </w:rPr>
        <w:t>• Usługodawca nie weryfikuje prawdziwości zgłoszenia niezdolności ani śmierci. Wybór Osób zaufanych i długości zwłoki należy do Właściciela; Osoba zaufana, która złoży nieprawdziwy wniosek, może uzyskać dostęp, jeśli Właściciel nie odmówi w czasie zwłoki.</w:t>
      </w:r>
    </w:p>
    <w:p>
      <w:pPr>
        <w:spacing w:after="40"/>
      </w:pPr>
      <w:r>
        <w:rPr>
          <w:b w:val="0"/>
          <w:color w:val="262625"/>
          <w:sz w:val="20"/>
        </w:rPr>
        <w:t>• Każdy odczyt i pobranie przez Osobę zaufaną jest zapisywane w historii widocznej dla Właściciela.</w:t>
      </w:r>
    </w:p>
    <w:p>
      <w:pPr>
        <w:spacing w:after="40"/>
      </w:pPr>
      <w:r>
        <w:rPr>
          <w:b w:val="0"/>
          <w:color w:val="262625"/>
          <w:sz w:val="20"/>
        </w:rPr>
        <w:t>• Osoba zaufana zachowuje w poufności informacje z teczki i używa ich tylko w celu, w jakim Właściciel je udostępnił.</w:t>
      </w:r>
    </w:p>
    <w:p>
      <w:pPr>
        <w:keepNext/>
        <w:spacing w:after="80" w:before="200"/>
      </w:pPr>
      <w:r>
        <w:rPr>
          <w:b/>
          <w:color w:val="262625"/>
          <w:sz w:val="26"/>
        </w:rPr>
        <w:t>§ 8. Zgłaszanie treści bezprawnych</w:t>
      </w:r>
    </w:p>
    <w:p>
      <w:pPr>
        <w:spacing w:after="40"/>
      </w:pPr>
      <w:r>
        <w:rPr>
          <w:b w:val="0"/>
          <w:color w:val="262625"/>
          <w:sz w:val="20"/>
        </w:rPr>
        <w:t>• Każdy może zgłosić treść, którą uważa za bezprawną, na adres z § 1, podając uzasadnienie, wskazanie treści, swoje dane i oświadczenie o dobrej wierze.</w:t>
      </w:r>
    </w:p>
    <w:p>
      <w:pPr>
        <w:spacing w:after="40"/>
      </w:pPr>
      <w:r>
        <w:rPr>
          <w:b w:val="0"/>
          <w:color w:val="262625"/>
          <w:sz w:val="20"/>
        </w:rPr>
        <w:t>• Usługodawca nie przegląda zawartości teczek i nie ma dostępu do Sejfu. Rozpatruje zgłoszenia i nakazy organów niezwłocznie; o decyzji ograniczającej informuje użytkownika z uzasadnieniem.</w:t>
      </w:r>
    </w:p>
    <w:p>
      <w:pPr>
        <w:keepNext/>
        <w:spacing w:after="80" w:before="200"/>
      </w:pPr>
      <w:r>
        <w:rPr>
          <w:b/>
          <w:color w:val="262625"/>
          <w:sz w:val="26"/>
        </w:rPr>
        <w:t>§ 9. Reklamacje</w:t>
      </w:r>
    </w:p>
    <w:p>
      <w:pPr>
        <w:spacing w:after="40"/>
      </w:pPr>
      <w:r>
        <w:rPr>
          <w:b w:val="0"/>
          <w:color w:val="262625"/>
          <w:sz w:val="20"/>
        </w:rPr>
        <w:t>• Reklamacje dotyczące działania Aplikacji: na adres z § 1, z opisem problemu i danymi kontaktowymi.</w:t>
      </w:r>
    </w:p>
    <w:p>
      <w:pPr>
        <w:spacing w:after="40"/>
      </w:pPr>
      <w:r>
        <w:rPr>
          <w:b w:val="0"/>
          <w:color w:val="262625"/>
          <w:sz w:val="20"/>
        </w:rPr>
        <w:t>• Usługodawca odpowiada w ciągu 14 dni.</w:t>
      </w:r>
    </w:p>
    <w:p>
      <w:pPr>
        <w:spacing w:after="40"/>
      </w:pPr>
      <w:r>
        <w:rPr>
          <w:b w:val="0"/>
          <w:color w:val="262625"/>
          <w:sz w:val="20"/>
        </w:rPr>
        <w:t>• Konsument może skorzystać z pozasądowych sposobów rozwiązywania sporów (np. miejski rzecznik konsumentów, wojewódzki inspektor Inspekcji Handlowej).</w:t>
      </w:r>
    </w:p>
    <w:p>
      <w:pPr>
        <w:keepNext/>
        <w:spacing w:after="80" w:before="200"/>
      </w:pPr>
      <w:r>
        <w:rPr>
          <w:b/>
          <w:color w:val="262625"/>
          <w:sz w:val="26"/>
        </w:rPr>
        <w:t>§ 10. Odpowiedzialność i bezpieczeństwo</w:t>
      </w:r>
    </w:p>
    <w:p>
      <w:pPr>
        <w:spacing w:after="40"/>
      </w:pPr>
      <w:r>
        <w:rPr>
          <w:b w:val="0"/>
          <w:color w:val="262625"/>
          <w:sz w:val="20"/>
        </w:rPr>
        <w:t>• Usługodawca szyfruje dokumenty na serwerze (AES-256-GCM), Sejf w przeglądarce, stosuje logowanie dwuskładnikowe i codzienne kopie zapasowe.</w:t>
      </w:r>
    </w:p>
    <w:p>
      <w:pPr>
        <w:spacing w:after="40"/>
      </w:pPr>
      <w:r>
        <w:rPr>
          <w:b w:val="0"/>
          <w:color w:val="262625"/>
          <w:sz w:val="20"/>
        </w:rPr>
        <w:t>• Usługodawca nie odpowiada za skutki utraty przez użytkownika haseł i kodów, decyzje Właściciela co do Osób zaufanych, skutki prawne braku lub wadliwości testamentu i pełnomocnictw ani treści wprowadzone przez użytkowników, chyba że szkoda wynika z winy umyślnej albo przepisy nie pozwalają ograniczyć odpowiedzialności wobec konsumenta.</w:t>
      </w:r>
    </w:p>
    <w:p>
      <w:pPr>
        <w:spacing w:after="40"/>
      </w:pPr>
      <w:r>
        <w:rPr>
          <w:b w:val="0"/>
          <w:color w:val="262625"/>
          <w:sz w:val="20"/>
        </w:rPr>
        <w:t>• Przerwy techniczne zapowiadane są z wyprzedzeniem, gdy to możliwe.</w:t>
      </w:r>
    </w:p>
    <w:p>
      <w:pPr>
        <w:keepNext/>
        <w:spacing w:after="80" w:before="200"/>
      </w:pPr>
      <w:r>
        <w:rPr>
          <w:b/>
          <w:color w:val="262625"/>
          <w:sz w:val="26"/>
        </w:rPr>
        <w:t>§ 11. Dane osobowe</w:t>
      </w:r>
    </w:p>
    <w:p>
      <w:pPr>
        <w:spacing w:after="80"/>
      </w:pPr>
      <w:r>
        <w:rPr>
          <w:b w:val="0"/>
          <w:color w:val="262625"/>
          <w:sz w:val="20"/>
        </w:rPr>
        <w:t>Zasady przetwarzania danych opisuje Polityka prywatności, dostępna w Aplikacji przed akceptacją Regulaminu.</w:t>
      </w:r>
    </w:p>
    <w:p>
      <w:pPr>
        <w:keepNext/>
        <w:spacing w:after="80" w:before="200"/>
      </w:pPr>
      <w:r>
        <w:rPr>
          <w:b/>
          <w:color w:val="262625"/>
          <w:sz w:val="26"/>
        </w:rPr>
        <w:t>§ 12. Zmiany Regulaminu</w:t>
      </w:r>
    </w:p>
    <w:p>
      <w:pPr>
        <w:spacing w:after="40"/>
      </w:pPr>
      <w:r>
        <w:rPr>
          <w:b w:val="0"/>
          <w:color w:val="262625"/>
          <w:sz w:val="20"/>
        </w:rPr>
        <w:t>• Usługodawca może zmienić Regulamin z ważnych przyczyn: zmiany przepisów, zmiany funkcji Aplikacji, względy bezpieczeństwa.</w:t>
      </w:r>
    </w:p>
    <w:p>
      <w:pPr>
        <w:spacing w:after="40"/>
      </w:pPr>
      <w:r>
        <w:rPr>
          <w:b w:val="0"/>
          <w:color w:val="262625"/>
          <w:sz w:val="20"/>
        </w:rPr>
        <w:t>• O zmianie informuje e-mailem i w Aplikacji co najmniej 14 dni przed wejściem w życie; kto nie akceptuje zmian, może wypowiedzieć umowę i pobrać dane.</w:t>
      </w:r>
    </w:p>
    <w:p>
      <w:pPr>
        <w:spacing w:after="40"/>
      </w:pPr>
      <w:r>
        <w:rPr>
          <w:b w:val="0"/>
          <w:color w:val="262625"/>
          <w:sz w:val="20"/>
        </w:rPr>
        <w:t>• Poprzednie wersje Regulaminu są dostępne w Aplikacji.</w:t>
      </w:r>
    </w:p>
    <w:p>
      <w:pPr>
        <w:keepNext/>
        <w:spacing w:after="80" w:before="200"/>
      </w:pPr>
      <w:r>
        <w:rPr>
          <w:b/>
          <w:color w:val="262625"/>
          <w:sz w:val="26"/>
        </w:rPr>
        <w:t>§ 13. Postanowienia końcowe</w:t>
      </w:r>
    </w:p>
    <w:p>
      <w:pPr>
        <w:spacing w:after="40"/>
      </w:pPr>
      <w:r>
        <w:rPr>
          <w:b w:val="0"/>
          <w:color w:val="262625"/>
          <w:sz w:val="20"/>
        </w:rPr>
        <w:t>• Regulamin jest dostępny nieodpłatnie w Aplikacji w formie, która pozwala go pobrać, zapisać i wydrukować.</w:t>
      </w:r>
    </w:p>
    <w:p>
      <w:pPr>
        <w:spacing w:after="40"/>
      </w:pPr>
      <w:r>
        <w:rPr>
          <w:b w:val="0"/>
          <w:color w:val="262625"/>
          <w:sz w:val="20"/>
        </w:rPr>
        <w:t>• Prawo właściwe: polskie; konsument zachowuje ochronę przepisów państwa swojego zwykłego pobytu, jeśli mu przysługuje.</w:t>
      </w:r>
    </w:p>
    <w:p>
      <w:pPr>
        <w:spacing w:after="40"/>
      </w:pPr>
      <w:r>
        <w:rPr>
          <w:b w:val="0"/>
          <w:color w:val="262625"/>
          <w:sz w:val="20"/>
        </w:rPr>
        <w:t>• Regulamin obowiązuje od 4 października 2026 r.</w:t>
      </w:r>
    </w:p>
    <w:sectPr w:rsidR="00FC693F" w:rsidRPr="0006063C" w:rsidSect="00034616">
      <w:footerReference w:type="default" r:id="rId9"/>
      <w:pgSz w:w="11906" w:h="16838"/>
      <w:pgMar w:top="907" w:right="79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Char w:fldCharType="begin"/>
      <w:instrText xml:space="preserve">PAGE</w:instrText>
      <w:fldChar w:fldCharType="end"/>
    </w:r>
  </w:p>
  <w:p>
    <w:pPr>
      <w:jc w:val="right"/>
    </w:pPr>
    <w:r>
      <w:rPr>
        <w:color w:val="67655E"/>
        <w:sz w:val="16"/>
      </w:rPr>
      <w:t>Czerwona teczka · Regulamin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Regulamin: Czerwona teczka</dc:title>
  <dc:subject/>
  <dc:creator>NEW PROJECT Andrzej Brzeziński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